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0157" w14:textId="2942222E" w:rsidR="006A65EF" w:rsidRPr="006A65EF" w:rsidRDefault="006A65EF" w:rsidP="006A65EF">
      <w:pPr>
        <w:spacing w:before="300" w:after="48" w:line="240" w:lineRule="auto"/>
        <w:outlineLvl w:val="1"/>
        <w:rPr>
          <w:rFonts w:ascii="Oswald" w:eastAsia="Times New Roman" w:hAnsi="Oswald" w:cs="Open Sans"/>
          <w:caps/>
          <w:color w:val="05467A"/>
          <w:spacing w:val="-15"/>
          <w:sz w:val="60"/>
          <w:szCs w:val="60"/>
          <w:lang w:eastAsia="pt-PT"/>
        </w:rPr>
      </w:pPr>
      <w:r w:rsidRPr="006A65EF">
        <w:rPr>
          <w:rFonts w:ascii="Oswald" w:eastAsia="Times New Roman" w:hAnsi="Oswald" w:cs="Open Sans"/>
          <w:caps/>
          <w:color w:val="05467A"/>
          <w:spacing w:val="-15"/>
          <w:sz w:val="60"/>
          <w:szCs w:val="60"/>
          <w:lang w:eastAsia="pt-PT"/>
        </w:rPr>
        <w:t>PATRIMÓNIO BIOLÓGICO</w:t>
      </w:r>
    </w:p>
    <w:p w14:paraId="29634AF0" w14:textId="7902499C" w:rsidR="006A65EF" w:rsidRPr="006A65EF" w:rsidRDefault="00EC4F7D" w:rsidP="006A65EF">
      <w:pPr>
        <w:spacing w:before="300" w:after="0" w:line="240" w:lineRule="auto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pict w14:anchorId="63A4A5F1">
          <v:rect id="_x0000_i1025" style="width:0;height:0" o:hralign="center" o:hrstd="t" o:hr="t" fillcolor="#a0a0a0" stroked="f"/>
        </w:pict>
      </w:r>
    </w:p>
    <w:p w14:paraId="613E94FB" w14:textId="508E5D6B" w:rsidR="006A65EF" w:rsidRPr="006A65EF" w:rsidRDefault="006A65EF" w:rsidP="006A65EF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O Parque das Serras do Porto congrega um valioso conjunto de habitats e de espécies animais e vegetais que importa conhecer e conservar.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br/>
        <w:t>As áreas de eucaliptal e pinhal sustentam a economia da região, mas a paisagem desvenda núcleos muito representativos de habitats tipicamente atlânticos, incluindo carvalhais, galerias ripícolas, matos e matagais.</w:t>
      </w:r>
    </w:p>
    <w:p w14:paraId="73286A36" w14:textId="36881FB3" w:rsidR="006A65EF" w:rsidRPr="006A65EF" w:rsidRDefault="006A65EF" w:rsidP="006A65EF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Os carvalhais, com os seus carvalhos-alvarinho, </w:t>
      </w:r>
      <w:r w:rsidRPr="006A65EF">
        <w:rPr>
          <w:rFonts w:ascii="Open Sans" w:eastAsia="Times New Roman" w:hAnsi="Open Sans" w:cs="Open Sans"/>
          <w:b/>
          <w:bCs/>
          <w:color w:val="8E8E8E"/>
          <w:sz w:val="21"/>
          <w:szCs w:val="21"/>
          <w:lang w:eastAsia="pt-PT"/>
        </w:rPr>
        <w:t>sobreiros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 e arbustos como a murta ou o folhado, ilustram a floresta característica da região, em complemento com as galerias ripícolas que acompanham os cursos de água e são tipicamente dominadas pelos amieiros, salgueiros-negros e freixos, a que se associam muitas espécies arbustivas. Nas encostas das serras, as formações vegetais nativas mais comuns são os matos rasteiros, onde se observam os </w:t>
      </w:r>
      <w:r w:rsidRPr="006A65EF">
        <w:rPr>
          <w:rFonts w:ascii="Open Sans" w:eastAsia="Times New Roman" w:hAnsi="Open Sans" w:cs="Open Sans"/>
          <w:b/>
          <w:bCs/>
          <w:color w:val="8E8E8E"/>
          <w:sz w:val="21"/>
          <w:szCs w:val="21"/>
          <w:lang w:eastAsia="pt-PT"/>
        </w:rPr>
        <w:t>tojos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, as urzes e a carqueja. Em alguns locais, evoluem para matagais, compostos por giestas, </w:t>
      </w:r>
      <w:r w:rsidRPr="006A65EF">
        <w:rPr>
          <w:rFonts w:ascii="Open Sans" w:eastAsia="Times New Roman" w:hAnsi="Open Sans" w:cs="Open Sans"/>
          <w:b/>
          <w:bCs/>
          <w:color w:val="8E8E8E"/>
          <w:sz w:val="21"/>
          <w:szCs w:val="21"/>
          <w:lang w:eastAsia="pt-PT"/>
        </w:rPr>
        <w:t>medronheiros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, pilriteiros, entre outras. Ao nível das plantas aromáticas e medicinais, destaca-se a presença de tomilhais assim como de rosmaninho, que atinge núcleos de vários milhares de indivíduos na zona das Banjas. O bosquete de loureiro próximo da Senhora do Salto contribui também para a diversidade florística do territóri</w:t>
      </w:r>
    </w:p>
    <w:p w14:paraId="707F916D" w14:textId="18611DEF" w:rsidR="006A65EF" w:rsidRPr="006A65EF" w:rsidRDefault="006A65EF" w:rsidP="006A65EF">
      <w:pPr>
        <w:shd w:val="clear" w:color="auto" w:fill="FFFFFF"/>
        <w:spacing w:before="135" w:line="240" w:lineRule="auto"/>
        <w:ind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 xml:space="preserve">          </w:t>
      </w:r>
      <w:r w:rsidRPr="006A65EF"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>MEDRONHEIRO</w:t>
      </w:r>
    </w:p>
    <w:p w14:paraId="68FAED85" w14:textId="4C585554" w:rsidR="006A65EF" w:rsidRPr="006A65EF" w:rsidRDefault="006A65EF" w:rsidP="006A65EF">
      <w:pPr>
        <w:numPr>
          <w:ilvl w:val="0"/>
          <w:numId w:val="1"/>
        </w:numPr>
        <w:shd w:val="clear" w:color="auto" w:fill="FFFFFF"/>
        <w:spacing w:after="0" w:line="240" w:lineRule="auto"/>
        <w:ind w:right="-10349"/>
        <w:jc w:val="center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7D76E8F2" w14:textId="103BA647" w:rsidR="006A65EF" w:rsidRDefault="006A65EF" w:rsidP="006A65EF">
      <w:pPr>
        <w:shd w:val="clear" w:color="auto" w:fill="FFFFFF"/>
        <w:spacing w:before="135" w:line="240" w:lineRule="auto"/>
        <w:ind w:left="720" w:right="-10349"/>
        <w:jc w:val="center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 w:rsidRPr="006A65EF">
        <w:rPr>
          <w:rFonts w:ascii="Open Sans" w:eastAsia="Times New Roman" w:hAnsi="Open Sans" w:cs="Open Sans"/>
          <w:noProof/>
          <w:color w:val="8E8E8E"/>
          <w:sz w:val="21"/>
          <w:szCs w:val="21"/>
          <w:lang w:eastAsia="pt-PT"/>
        </w:rPr>
        <w:drawing>
          <wp:anchor distT="0" distB="0" distL="114300" distR="114300" simplePos="0" relativeHeight="251661312" behindDoc="1" locked="0" layoutInCell="1" allowOverlap="1" wp14:anchorId="77011F0A" wp14:editId="50B472BC">
            <wp:simplePos x="0" y="0"/>
            <wp:positionH relativeFrom="column">
              <wp:posOffset>2820035</wp:posOffset>
            </wp:positionH>
            <wp:positionV relativeFrom="paragraph">
              <wp:posOffset>323215</wp:posOffset>
            </wp:positionV>
            <wp:extent cx="2655570" cy="1770380"/>
            <wp:effectExtent l="0" t="0" r="0" b="1270"/>
            <wp:wrapNone/>
            <wp:docPr id="3" name="Imagem 3" descr="T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EF">
        <w:rPr>
          <w:rFonts w:ascii="Open Sans" w:eastAsia="Times New Roman" w:hAnsi="Open Sans" w:cs="Open Sans"/>
          <w:noProof/>
          <w:color w:val="8E8E8E"/>
          <w:sz w:val="21"/>
          <w:szCs w:val="21"/>
          <w:lang w:eastAsia="pt-PT"/>
        </w:rPr>
        <w:drawing>
          <wp:anchor distT="0" distB="0" distL="114300" distR="114300" simplePos="0" relativeHeight="251659264" behindDoc="1" locked="0" layoutInCell="1" allowOverlap="1" wp14:anchorId="33C14710" wp14:editId="631BE852">
            <wp:simplePos x="0" y="0"/>
            <wp:positionH relativeFrom="margin">
              <wp:posOffset>-205105</wp:posOffset>
            </wp:positionH>
            <wp:positionV relativeFrom="paragraph">
              <wp:posOffset>247015</wp:posOffset>
            </wp:positionV>
            <wp:extent cx="2757012" cy="1838008"/>
            <wp:effectExtent l="0" t="0" r="5715" b="0"/>
            <wp:wrapNone/>
            <wp:docPr id="2" name="Imagem 2" descr="Medronh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ronhei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12" cy="183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EF"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>TOJO</w:t>
      </w:r>
    </w:p>
    <w:p w14:paraId="7E34792C" w14:textId="5E0F68FD" w:rsidR="006A65EF" w:rsidRPr="006A65EF" w:rsidRDefault="006A65EF" w:rsidP="006A65EF">
      <w:pPr>
        <w:rPr>
          <w:rFonts w:ascii="Open Sans" w:eastAsia="Times New Roman" w:hAnsi="Open Sans" w:cs="Open Sans"/>
          <w:sz w:val="15"/>
          <w:szCs w:val="15"/>
          <w:lang w:eastAsia="pt-PT"/>
        </w:rPr>
      </w:pPr>
    </w:p>
    <w:p w14:paraId="71C69020" w14:textId="31E3A964" w:rsidR="006A65EF" w:rsidRPr="006A65EF" w:rsidRDefault="006A65EF" w:rsidP="006A65EF">
      <w:pPr>
        <w:rPr>
          <w:rFonts w:ascii="Open Sans" w:eastAsia="Times New Roman" w:hAnsi="Open Sans" w:cs="Open Sans"/>
          <w:sz w:val="15"/>
          <w:szCs w:val="15"/>
          <w:lang w:eastAsia="pt-PT"/>
        </w:rPr>
      </w:pPr>
    </w:p>
    <w:p w14:paraId="6F982162" w14:textId="74507F1D" w:rsidR="006A65EF" w:rsidRPr="006A65EF" w:rsidRDefault="006A65EF" w:rsidP="006A65EF">
      <w:pPr>
        <w:rPr>
          <w:rFonts w:ascii="Open Sans" w:eastAsia="Times New Roman" w:hAnsi="Open Sans" w:cs="Open Sans"/>
          <w:sz w:val="15"/>
          <w:szCs w:val="15"/>
          <w:lang w:eastAsia="pt-PT"/>
        </w:rPr>
      </w:pPr>
    </w:p>
    <w:p w14:paraId="19997F7C" w14:textId="540DC633" w:rsidR="006A65EF" w:rsidRPr="006A65EF" w:rsidRDefault="006A65EF" w:rsidP="006A65EF">
      <w:pPr>
        <w:rPr>
          <w:rFonts w:ascii="Open Sans" w:eastAsia="Times New Roman" w:hAnsi="Open Sans" w:cs="Open Sans"/>
          <w:sz w:val="15"/>
          <w:szCs w:val="15"/>
          <w:lang w:eastAsia="pt-PT"/>
        </w:rPr>
      </w:pPr>
    </w:p>
    <w:p w14:paraId="4ABA3FB8" w14:textId="662B4544" w:rsidR="006A65EF" w:rsidRPr="006A65EF" w:rsidRDefault="006A65EF" w:rsidP="006A65EF">
      <w:pPr>
        <w:rPr>
          <w:rFonts w:ascii="Open Sans" w:eastAsia="Times New Roman" w:hAnsi="Open Sans" w:cs="Open Sans"/>
          <w:sz w:val="15"/>
          <w:szCs w:val="15"/>
          <w:lang w:eastAsia="pt-PT"/>
        </w:rPr>
      </w:pPr>
    </w:p>
    <w:p w14:paraId="250D3039" w14:textId="6FF1DBD9" w:rsidR="006A65EF" w:rsidRPr="006A65EF" w:rsidRDefault="006A65EF" w:rsidP="006A65EF">
      <w:pPr>
        <w:rPr>
          <w:rFonts w:ascii="Open Sans" w:eastAsia="Times New Roman" w:hAnsi="Open Sans" w:cs="Open Sans"/>
          <w:sz w:val="15"/>
          <w:szCs w:val="15"/>
          <w:lang w:eastAsia="pt-PT"/>
        </w:rPr>
      </w:pPr>
    </w:p>
    <w:p w14:paraId="4213F5D5" w14:textId="0D0AB777" w:rsidR="006A65EF" w:rsidRPr="006A65EF" w:rsidRDefault="006A65EF" w:rsidP="006A65EF">
      <w:pPr>
        <w:rPr>
          <w:rFonts w:ascii="Open Sans" w:eastAsia="Times New Roman" w:hAnsi="Open Sans" w:cs="Open Sans"/>
          <w:sz w:val="15"/>
          <w:szCs w:val="15"/>
          <w:lang w:eastAsia="pt-PT"/>
        </w:rPr>
      </w:pPr>
    </w:p>
    <w:p w14:paraId="0A64EA06" w14:textId="639FDD8A" w:rsidR="006A65EF" w:rsidRDefault="006A65EF" w:rsidP="006A65EF">
      <w:pPr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3611D373" w14:textId="75C0C259" w:rsidR="006A65EF" w:rsidRPr="006A65EF" w:rsidRDefault="006A65EF" w:rsidP="006A65EF">
      <w:pPr>
        <w:ind w:firstLine="708"/>
        <w:rPr>
          <w:rFonts w:ascii="Open Sans" w:eastAsia="Times New Roman" w:hAnsi="Open Sans" w:cs="Open Sans"/>
          <w:sz w:val="15"/>
          <w:szCs w:val="15"/>
          <w:lang w:eastAsia="pt-PT"/>
        </w:rPr>
      </w:pPr>
      <w:r w:rsidRPr="006A65EF">
        <w:rPr>
          <w:rFonts w:ascii="Open Sans" w:eastAsia="Times New Roman" w:hAnsi="Open Sans" w:cs="Open Sans"/>
          <w:noProof/>
          <w:color w:val="8E8E8E"/>
          <w:sz w:val="21"/>
          <w:szCs w:val="21"/>
          <w:lang w:eastAsia="pt-PT"/>
        </w:rPr>
        <w:drawing>
          <wp:anchor distT="0" distB="0" distL="114300" distR="114300" simplePos="0" relativeHeight="251663360" behindDoc="0" locked="0" layoutInCell="1" allowOverlap="1" wp14:anchorId="1032E3FE" wp14:editId="56CFA931">
            <wp:simplePos x="0" y="0"/>
            <wp:positionH relativeFrom="margin">
              <wp:posOffset>1315085</wp:posOffset>
            </wp:positionH>
            <wp:positionV relativeFrom="paragraph">
              <wp:posOffset>102553</wp:posOffset>
            </wp:positionV>
            <wp:extent cx="2333625" cy="1555666"/>
            <wp:effectExtent l="0" t="0" r="0" b="6985"/>
            <wp:wrapNone/>
            <wp:docPr id="4" name="Imagem 4" descr="Sobr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breir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8E20F" w14:textId="3725BEF9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 w:rsidRPr="006A65EF"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>SOBREIROS</w:t>
      </w:r>
    </w:p>
    <w:p w14:paraId="61695090" w14:textId="5B58B912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018B2E9B" w14:textId="32EC4B50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17D3AE7A" w14:textId="4C34677C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5F4C5A47" w14:textId="71D3DDB7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485517DE" w14:textId="7B1BAA72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172A5896" w14:textId="28CDBF3F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4EC6BFC2" w14:textId="680ACA56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4BE5C002" w14:textId="1AC7171B" w:rsidR="006A65EF" w:rsidRP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74653635" w14:textId="77777777" w:rsidR="006A65EF" w:rsidRPr="006A65EF" w:rsidRDefault="006A65EF" w:rsidP="006A65EF">
      <w:pPr>
        <w:numPr>
          <w:ilvl w:val="0"/>
          <w:numId w:val="2"/>
        </w:numPr>
        <w:spacing w:after="0" w:line="0" w:lineRule="auto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69DD8A82" w14:textId="6A901E10" w:rsidR="006A65EF" w:rsidRPr="006A65EF" w:rsidRDefault="006A65EF" w:rsidP="006A65EF">
      <w:pPr>
        <w:numPr>
          <w:ilvl w:val="0"/>
          <w:numId w:val="2"/>
        </w:numPr>
        <w:spacing w:line="0" w:lineRule="auto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731795C9" w14:textId="13164FC3" w:rsidR="006A65EF" w:rsidRPr="006A65EF" w:rsidRDefault="006A65EF" w:rsidP="006A65EF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  <w:r w:rsidRPr="006A65EF">
        <w:rPr>
          <w:rFonts w:ascii="Open Sans" w:eastAsia="Times New Roman" w:hAnsi="Open Sans" w:cs="Open Sans"/>
          <w:noProof/>
          <w:color w:val="8E8E8E"/>
          <w:sz w:val="21"/>
          <w:szCs w:val="21"/>
          <w:lang w:eastAsia="pt-PT"/>
        </w:rPr>
        <w:lastRenderedPageBreak/>
        <w:drawing>
          <wp:anchor distT="0" distB="0" distL="114300" distR="114300" simplePos="0" relativeHeight="251664384" behindDoc="0" locked="0" layoutInCell="1" allowOverlap="1" wp14:anchorId="7E9F2122" wp14:editId="59FEB139">
            <wp:simplePos x="0" y="0"/>
            <wp:positionH relativeFrom="margin">
              <wp:posOffset>3601085</wp:posOffset>
            </wp:positionH>
            <wp:positionV relativeFrom="paragraph">
              <wp:posOffset>2795905</wp:posOffset>
            </wp:positionV>
            <wp:extent cx="1943101" cy="1295400"/>
            <wp:effectExtent l="0" t="0" r="0" b="0"/>
            <wp:wrapNone/>
            <wp:docPr id="5" name="Imagem 5" descr="Pinheiro-bab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heiro-babo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No território ocorrem espécies florísticas com elevado interesse para a conservação e que têm suscitado uma particular atenção por parte da comunidade científica. A lista é vasta, mas destacam-se algumas espécies muito singulares: os dois únicos núcleos conhecidos em Portugal Continental de </w:t>
      </w:r>
      <w:r w:rsidRPr="006A65EF">
        <w:rPr>
          <w:rFonts w:ascii="Open Sans" w:eastAsia="Times New Roman" w:hAnsi="Open Sans" w:cs="Open Sans"/>
          <w:b/>
          <w:bCs/>
          <w:color w:val="8E8E8E"/>
          <w:sz w:val="21"/>
          <w:szCs w:val="21"/>
          <w:lang w:eastAsia="pt-PT"/>
        </w:rPr>
        <w:t>feto-filme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 (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Trichomanes speciosum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), assim como o único local conhecido em toda a Europa Continental onde ocorre a espécie 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Lycopodiella cernua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; está também presente uma população de feto-de-cabelinho (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Culcita macrocarpa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), a única detetada em todo o Continente. Como exemplos de endemismos de distribuição restrita podem ser apontadas as espécies 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Dryopteris guanchica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, 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Sucissa pinnatifida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, 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Linkagrostis juressi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 e o emblemático martelinhos (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Narcissus cyclamineus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). Observam-se ainda o feto relíquia 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Davallia canariensis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 e a 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Silene marizii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. Além das espécies protegidas, há outras que se revestem de particular interesse, como é o caso das plantas insetívoras – duas espécies de orvalhinhas, a pinguícola e o </w:t>
      </w:r>
      <w:r w:rsidRPr="006A65EF">
        <w:rPr>
          <w:rFonts w:ascii="Open Sans" w:eastAsia="Times New Roman" w:hAnsi="Open Sans" w:cs="Open Sans"/>
          <w:b/>
          <w:bCs/>
          <w:color w:val="8E8E8E"/>
          <w:sz w:val="21"/>
          <w:szCs w:val="21"/>
          <w:lang w:eastAsia="pt-PT"/>
        </w:rPr>
        <w:t>pinheiro-baboso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 atraem a atenção não só dos botânicos mas também do cidadão comum.</w:t>
      </w:r>
    </w:p>
    <w:p w14:paraId="6ADA23D2" w14:textId="1BAE6E70" w:rsidR="006A65EF" w:rsidRPr="006A65EF" w:rsidRDefault="006A65EF" w:rsidP="006A65EF">
      <w:pPr>
        <w:shd w:val="clear" w:color="auto" w:fill="FFFFFF"/>
        <w:spacing w:after="0" w:line="240" w:lineRule="auto"/>
        <w:ind w:right="-10349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4D9D2D65" w14:textId="4BBCA209" w:rsidR="006A65EF" w:rsidRPr="006A65EF" w:rsidRDefault="006A65EF" w:rsidP="006A65EF">
      <w:pPr>
        <w:shd w:val="clear" w:color="auto" w:fill="FFFFFF"/>
        <w:spacing w:before="135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 xml:space="preserve">                                                                                       </w:t>
      </w:r>
      <w:r w:rsidRPr="006A65EF"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>PINHEIRO-BABOSO</w:t>
      </w:r>
    </w:p>
    <w:p w14:paraId="27A027BD" w14:textId="14DAB2E5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 w:rsidRPr="006A65EF"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>FETO-FILME</w:t>
      </w:r>
    </w:p>
    <w:p w14:paraId="250DC6B9" w14:textId="629CB045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 w:rsidRPr="006A65EF">
        <w:rPr>
          <w:rFonts w:ascii="Open Sans" w:eastAsia="Times New Roman" w:hAnsi="Open Sans" w:cs="Open Sans"/>
          <w:noProof/>
          <w:color w:val="8E8E8E"/>
          <w:sz w:val="21"/>
          <w:szCs w:val="21"/>
          <w:lang w:eastAsia="pt-PT"/>
        </w:rPr>
        <w:drawing>
          <wp:anchor distT="0" distB="0" distL="114300" distR="114300" simplePos="0" relativeHeight="251666432" behindDoc="0" locked="0" layoutInCell="1" allowOverlap="1" wp14:anchorId="7AD3B66E" wp14:editId="2A03891C">
            <wp:simplePos x="0" y="0"/>
            <wp:positionH relativeFrom="column">
              <wp:posOffset>76200</wp:posOffset>
            </wp:positionH>
            <wp:positionV relativeFrom="paragraph">
              <wp:posOffset>5397</wp:posOffset>
            </wp:positionV>
            <wp:extent cx="2134553" cy="1423035"/>
            <wp:effectExtent l="0" t="0" r="0" b="5715"/>
            <wp:wrapNone/>
            <wp:docPr id="6" name="Imagem 6" descr="Feto-fi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to-fil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53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6B709" w14:textId="3C6DFD56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6454C2D3" w14:textId="70105F39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2E36626B" w14:textId="776A6AF3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4895E270" w14:textId="7F98EC5A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210E7AF9" w14:textId="1E5C8A39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14DB70E0" w14:textId="418608C8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4E0BBE77" w14:textId="3396C4F5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3A0EA9CB" w14:textId="5F94B2D3" w:rsid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669D3FF0" w14:textId="77777777" w:rsidR="006A65EF" w:rsidRPr="006A65EF" w:rsidRDefault="006A65EF" w:rsidP="006A65EF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46213D46" w14:textId="77777777" w:rsidR="006A65EF" w:rsidRPr="006A65EF" w:rsidRDefault="006A65EF" w:rsidP="006A65EF">
      <w:pPr>
        <w:numPr>
          <w:ilvl w:val="0"/>
          <w:numId w:val="4"/>
        </w:numPr>
        <w:spacing w:after="0" w:line="0" w:lineRule="auto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04388871" w14:textId="0F339861" w:rsidR="006A65EF" w:rsidRPr="006A65EF" w:rsidRDefault="006A65EF" w:rsidP="006A65EF">
      <w:pPr>
        <w:numPr>
          <w:ilvl w:val="0"/>
          <w:numId w:val="4"/>
        </w:numPr>
        <w:spacing w:line="0" w:lineRule="auto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07D6FAA5" w14:textId="412A0DA1" w:rsidR="006A65EF" w:rsidRPr="006A65EF" w:rsidRDefault="006A65EF" w:rsidP="006A65EF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Estas serras albergam também uma grande variedade faunística. Destaca-se pela sua importância conservacionista e especial relevância na área a </w:t>
      </w:r>
      <w:r w:rsidRPr="006A65EF">
        <w:rPr>
          <w:rFonts w:ascii="Open Sans" w:eastAsia="Times New Roman" w:hAnsi="Open Sans" w:cs="Open Sans"/>
          <w:b/>
          <w:bCs/>
          <w:color w:val="8E8E8E"/>
          <w:sz w:val="21"/>
          <w:szCs w:val="21"/>
          <w:lang w:eastAsia="pt-PT"/>
        </w:rPr>
        <w:t>salamandra-lusitânica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 (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Chioglossa lusitanica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), que encontra nas minas resultantes da exploração aurífera romana os melhores locais conhecidos para a sua reprodução e período de metamorfose.</w:t>
      </w:r>
    </w:p>
    <w:p w14:paraId="6BDACB0C" w14:textId="19E0A5C3" w:rsidR="006A65EF" w:rsidRPr="006A65EF" w:rsidRDefault="006A65EF" w:rsidP="00535D1E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A relevância do território para a salamandra-lusitânica, anfíbio endémico do Noroeste da Península Ibérica e com o estatuto de conservação “Vulnerável”, motivou a que fosse escolhida para figurar no logótipo do Parque das Serras do Porto.</w:t>
      </w:r>
    </w:p>
    <w:p w14:paraId="43AC7D40" w14:textId="69BAC0C8" w:rsidR="006A65EF" w:rsidRPr="006A65EF" w:rsidRDefault="00535D1E" w:rsidP="00535D1E">
      <w:pPr>
        <w:shd w:val="clear" w:color="auto" w:fill="FFFFFF"/>
        <w:spacing w:before="135" w:line="240" w:lineRule="auto"/>
        <w:ind w:left="36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 w:rsidRPr="006A65EF">
        <w:rPr>
          <w:rFonts w:ascii="Open Sans" w:eastAsia="Times New Roman" w:hAnsi="Open Sans" w:cs="Open Sans"/>
          <w:noProof/>
          <w:color w:val="8E8E8E"/>
          <w:sz w:val="21"/>
          <w:szCs w:val="21"/>
          <w:lang w:eastAsia="pt-PT"/>
        </w:rPr>
        <w:drawing>
          <wp:anchor distT="0" distB="0" distL="114300" distR="114300" simplePos="0" relativeHeight="251670528" behindDoc="0" locked="0" layoutInCell="1" allowOverlap="1" wp14:anchorId="31407DC7" wp14:editId="6BECF101">
            <wp:simplePos x="0" y="0"/>
            <wp:positionH relativeFrom="margin">
              <wp:posOffset>3067685</wp:posOffset>
            </wp:positionH>
            <wp:positionV relativeFrom="paragraph">
              <wp:posOffset>114618</wp:posOffset>
            </wp:positionV>
            <wp:extent cx="2000250" cy="1333500"/>
            <wp:effectExtent l="0" t="0" r="0" b="0"/>
            <wp:wrapNone/>
            <wp:docPr id="8" name="Imagem 8" descr="Salamandra-lusitâ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lamandra-lusitâ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EF">
        <w:rPr>
          <w:rFonts w:ascii="Open Sans" w:eastAsia="Times New Roman" w:hAnsi="Open Sans" w:cs="Open Sans"/>
          <w:noProof/>
          <w:color w:val="8E8E8E"/>
          <w:sz w:val="21"/>
          <w:szCs w:val="21"/>
          <w:lang w:eastAsia="pt-PT"/>
        </w:rPr>
        <w:drawing>
          <wp:anchor distT="0" distB="0" distL="114300" distR="114300" simplePos="0" relativeHeight="251668480" behindDoc="0" locked="0" layoutInCell="1" allowOverlap="1" wp14:anchorId="5CCC45D3" wp14:editId="7CAE8790">
            <wp:simplePos x="0" y="0"/>
            <wp:positionH relativeFrom="column">
              <wp:posOffset>-108902</wp:posOffset>
            </wp:positionH>
            <wp:positionV relativeFrom="paragraph">
              <wp:posOffset>243840</wp:posOffset>
            </wp:positionV>
            <wp:extent cx="2113280" cy="1408853"/>
            <wp:effectExtent l="0" t="0" r="1270" b="1270"/>
            <wp:wrapNone/>
            <wp:docPr id="7" name="Imagem 7" descr="Salamandra-lusitâ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amandra-lusitâ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5EF" w:rsidRPr="006A65EF"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>SALAMANDRA-LUSITÂNICA</w:t>
      </w:r>
    </w:p>
    <w:p w14:paraId="4B4DDDAF" w14:textId="68CCD70D" w:rsidR="006A65EF" w:rsidRPr="006A65EF" w:rsidRDefault="006A65EF" w:rsidP="00535D1E">
      <w:pPr>
        <w:shd w:val="clear" w:color="auto" w:fill="FFFFFF"/>
        <w:spacing w:after="0" w:line="240" w:lineRule="auto"/>
        <w:ind w:right="-10349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053E6FD3" w14:textId="6687A837" w:rsidR="006A65EF" w:rsidRPr="006A65EF" w:rsidRDefault="006A65EF" w:rsidP="006A65EF">
      <w:pPr>
        <w:shd w:val="clear" w:color="auto" w:fill="FFFFFF"/>
        <w:spacing w:before="135" w:line="240" w:lineRule="auto"/>
        <w:ind w:left="720" w:right="-10349"/>
        <w:jc w:val="center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 w:rsidRPr="006A65EF"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>SALAMANDRA-LUSITÂNICA</w:t>
      </w:r>
    </w:p>
    <w:p w14:paraId="47549EAF" w14:textId="77777777" w:rsidR="006A65EF" w:rsidRPr="006A65EF" w:rsidRDefault="006A65EF" w:rsidP="006A65EF">
      <w:pPr>
        <w:numPr>
          <w:ilvl w:val="0"/>
          <w:numId w:val="6"/>
        </w:numPr>
        <w:spacing w:after="0" w:line="0" w:lineRule="auto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14587FC9" w14:textId="390E68D1" w:rsidR="006A65EF" w:rsidRPr="006A65EF" w:rsidRDefault="006A65EF" w:rsidP="006A65EF">
      <w:pPr>
        <w:numPr>
          <w:ilvl w:val="0"/>
          <w:numId w:val="6"/>
        </w:numPr>
        <w:spacing w:line="0" w:lineRule="auto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608A4C57" w14:textId="72776717" w:rsidR="00535D1E" w:rsidRDefault="00535D1E" w:rsidP="006A65EF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42CE06F2" w14:textId="77777777" w:rsidR="00535D1E" w:rsidRDefault="00535D1E" w:rsidP="006A65EF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222AFE30" w14:textId="12B1D87C" w:rsidR="006A65EF" w:rsidRPr="006A65EF" w:rsidRDefault="006A65EF" w:rsidP="006A65EF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lastRenderedPageBreak/>
        <w:t>Detêm também especial estatuto a nível comunitário, conforme a Diretiva “Aves”, o falcão-peregrino, o guarda-rios, a cotovia-pequena, o milhafre-preto e a felosa-do-mato, às quais se juntam as espécies salvaguardas pela Diretiva “Habitats”, por exemplo: rã-de-focinho-pontiguado, </w:t>
      </w:r>
      <w:r w:rsidRPr="006A65EF">
        <w:rPr>
          <w:rFonts w:ascii="Open Sans" w:eastAsia="Times New Roman" w:hAnsi="Open Sans" w:cs="Open Sans"/>
          <w:b/>
          <w:bCs/>
          <w:color w:val="8E8E8E"/>
          <w:sz w:val="21"/>
          <w:szCs w:val="21"/>
          <w:lang w:eastAsia="pt-PT"/>
        </w:rPr>
        <w:t>rã-ibérica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, tritão-marmorado, sapo-corredor; cobra-de-ferradura, cágado-mediterrânico, lagarto-de-água; lontra, morcego-de-ferradura-grande, morcego-de-peluche, toupeira-d’água; boga-do-Norte, bordalo, panjorca, ruivaco e, nos invertebrados, a cabra-loura e as libélulas de nome científico 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Gomphus graslinii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, 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Macromia splendens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 e </w:t>
      </w:r>
      <w:r w:rsidRPr="006A65EF">
        <w:rPr>
          <w:rFonts w:ascii="Open Sans" w:eastAsia="Times New Roman" w:hAnsi="Open Sans" w:cs="Open Sans"/>
          <w:i/>
          <w:iCs/>
          <w:color w:val="8E8E8E"/>
          <w:sz w:val="21"/>
          <w:szCs w:val="21"/>
          <w:lang w:eastAsia="pt-PT"/>
        </w:rPr>
        <w:t>Oxygastra curtisii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.</w:t>
      </w:r>
    </w:p>
    <w:p w14:paraId="66664BCE" w14:textId="5B5EADF7" w:rsidR="006A65EF" w:rsidRPr="006A65EF" w:rsidRDefault="006A65EF" w:rsidP="006A65EF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Ocorrem ainda inúmeras </w:t>
      </w:r>
      <w:r w:rsidRPr="006A65EF">
        <w:rPr>
          <w:rFonts w:ascii="Open Sans" w:eastAsia="Times New Roman" w:hAnsi="Open Sans" w:cs="Open Sans"/>
          <w:b/>
          <w:bCs/>
          <w:color w:val="8E8E8E"/>
          <w:sz w:val="21"/>
          <w:szCs w:val="21"/>
          <w:lang w:eastAsia="pt-PT"/>
        </w:rPr>
        <w:t>outras espécies</w:t>
      </w: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 de fauna que enriquecem o património biológico e salientam a importância das serras enquanto refúgio metropolitano.</w:t>
      </w:r>
    </w:p>
    <w:p w14:paraId="7D770BE7" w14:textId="0C346FFF" w:rsidR="006A65EF" w:rsidRPr="006A65EF" w:rsidRDefault="006A65EF" w:rsidP="00535D1E">
      <w:pPr>
        <w:shd w:val="clear" w:color="auto" w:fill="FFFFFF"/>
        <w:spacing w:after="0" w:line="240" w:lineRule="auto"/>
        <w:ind w:left="720" w:right="-10349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5B10969A" w14:textId="7B9AE81B" w:rsidR="006A65EF" w:rsidRPr="006A65EF" w:rsidRDefault="00535D1E" w:rsidP="00535D1E">
      <w:pPr>
        <w:shd w:val="clear" w:color="auto" w:fill="FFFFFF"/>
        <w:spacing w:before="135" w:line="240" w:lineRule="auto"/>
        <w:ind w:left="720" w:right="-10349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 w:rsidRPr="006A65EF">
        <w:rPr>
          <w:rFonts w:ascii="Open Sans" w:eastAsia="Times New Roman" w:hAnsi="Open Sans" w:cs="Open Sans"/>
          <w:noProof/>
          <w:color w:val="8E8E8E"/>
          <w:sz w:val="21"/>
          <w:szCs w:val="21"/>
          <w:lang w:eastAsia="pt-PT"/>
        </w:rPr>
        <w:drawing>
          <wp:anchor distT="0" distB="0" distL="114300" distR="114300" simplePos="0" relativeHeight="251673600" behindDoc="0" locked="0" layoutInCell="1" allowOverlap="1" wp14:anchorId="6680EB3F" wp14:editId="61F34876">
            <wp:simplePos x="0" y="0"/>
            <wp:positionH relativeFrom="column">
              <wp:posOffset>3434716</wp:posOffset>
            </wp:positionH>
            <wp:positionV relativeFrom="paragraph">
              <wp:posOffset>231775</wp:posOffset>
            </wp:positionV>
            <wp:extent cx="2121218" cy="1414145"/>
            <wp:effectExtent l="0" t="0" r="0" b="0"/>
            <wp:wrapNone/>
            <wp:docPr id="10" name="Imagem 10" descr="Rã-ibé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-ibér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6" cy="141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EF">
        <w:rPr>
          <w:rFonts w:ascii="Open Sans" w:eastAsia="Times New Roman" w:hAnsi="Open Sans" w:cs="Open Sans"/>
          <w:noProof/>
          <w:color w:val="8E8E8E"/>
          <w:sz w:val="21"/>
          <w:szCs w:val="21"/>
          <w:lang w:eastAsia="pt-PT"/>
        </w:rPr>
        <w:drawing>
          <wp:anchor distT="0" distB="0" distL="114300" distR="114300" simplePos="0" relativeHeight="251672576" behindDoc="0" locked="0" layoutInCell="1" allowOverlap="1" wp14:anchorId="2F37A33D" wp14:editId="6FC66E3B">
            <wp:simplePos x="0" y="0"/>
            <wp:positionH relativeFrom="margin">
              <wp:posOffset>618173</wp:posOffset>
            </wp:positionH>
            <wp:positionV relativeFrom="paragraph">
              <wp:posOffset>242570</wp:posOffset>
            </wp:positionV>
            <wp:extent cx="2185512" cy="1457008"/>
            <wp:effectExtent l="0" t="0" r="5715" b="0"/>
            <wp:wrapNone/>
            <wp:docPr id="9" name="Imagem 9" descr="Libel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elinh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12" cy="14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5EF" w:rsidRPr="006A65EF"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>LIBELINHA</w:t>
      </w:r>
    </w:p>
    <w:p w14:paraId="266E6B30" w14:textId="57B5FC3F" w:rsidR="006A65EF" w:rsidRPr="006A65EF" w:rsidRDefault="006A65EF" w:rsidP="006A65EF">
      <w:pPr>
        <w:numPr>
          <w:ilvl w:val="0"/>
          <w:numId w:val="7"/>
        </w:numPr>
        <w:shd w:val="clear" w:color="auto" w:fill="FFFFFF"/>
        <w:spacing w:after="0" w:line="240" w:lineRule="auto"/>
        <w:ind w:right="-10349"/>
        <w:jc w:val="center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0232499F" w14:textId="4D0B24CA" w:rsidR="00535D1E" w:rsidRDefault="00535D1E" w:rsidP="006A65EF">
      <w:pPr>
        <w:shd w:val="clear" w:color="auto" w:fill="FFFFFF"/>
        <w:spacing w:before="135" w:line="240" w:lineRule="auto"/>
        <w:ind w:left="720" w:right="-10349"/>
        <w:jc w:val="center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331BB977" w14:textId="3FC151D3" w:rsidR="00535D1E" w:rsidRDefault="00535D1E" w:rsidP="006A65EF">
      <w:pPr>
        <w:shd w:val="clear" w:color="auto" w:fill="FFFFFF"/>
        <w:spacing w:before="135" w:line="240" w:lineRule="auto"/>
        <w:ind w:left="720" w:right="-10349"/>
        <w:jc w:val="center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221B1D21" w14:textId="0CC4DA77" w:rsidR="00535D1E" w:rsidRDefault="00535D1E" w:rsidP="006A65EF">
      <w:pPr>
        <w:shd w:val="clear" w:color="auto" w:fill="FFFFFF"/>
        <w:spacing w:before="135" w:line="240" w:lineRule="auto"/>
        <w:ind w:left="720" w:right="-10349"/>
        <w:jc w:val="center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7E1FD83E" w14:textId="75F40D08" w:rsidR="00535D1E" w:rsidRDefault="00535D1E" w:rsidP="006A65EF">
      <w:pPr>
        <w:shd w:val="clear" w:color="auto" w:fill="FFFFFF"/>
        <w:spacing w:before="135" w:line="240" w:lineRule="auto"/>
        <w:ind w:left="720" w:right="-10349"/>
        <w:jc w:val="center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</w:p>
    <w:p w14:paraId="7512D0B9" w14:textId="6CA69E3B" w:rsidR="006A65EF" w:rsidRPr="006A65EF" w:rsidRDefault="006A65EF" w:rsidP="006A65EF">
      <w:pPr>
        <w:shd w:val="clear" w:color="auto" w:fill="FFFFFF"/>
        <w:spacing w:before="135" w:line="240" w:lineRule="auto"/>
        <w:ind w:left="720" w:right="-10349"/>
        <w:jc w:val="center"/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</w:pPr>
      <w:r w:rsidRPr="006A65EF">
        <w:rPr>
          <w:rFonts w:ascii="Open Sans" w:eastAsia="Times New Roman" w:hAnsi="Open Sans" w:cs="Open Sans"/>
          <w:caps/>
          <w:color w:val="8E8E8E"/>
          <w:sz w:val="15"/>
          <w:szCs w:val="15"/>
          <w:lang w:eastAsia="pt-PT"/>
        </w:rPr>
        <w:t>RÃ-IBÉRICA</w:t>
      </w:r>
    </w:p>
    <w:p w14:paraId="6DDE4390" w14:textId="77777777" w:rsidR="006A65EF" w:rsidRPr="006A65EF" w:rsidRDefault="006A65EF" w:rsidP="006A65EF">
      <w:pPr>
        <w:numPr>
          <w:ilvl w:val="0"/>
          <w:numId w:val="8"/>
        </w:numPr>
        <w:spacing w:after="0" w:line="0" w:lineRule="auto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02D2DCFC" w14:textId="48C698B7" w:rsidR="006A65EF" w:rsidRPr="006A65EF" w:rsidRDefault="006A65EF" w:rsidP="006A65EF">
      <w:pPr>
        <w:numPr>
          <w:ilvl w:val="0"/>
          <w:numId w:val="8"/>
        </w:numPr>
        <w:spacing w:line="0" w:lineRule="auto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</w:p>
    <w:p w14:paraId="6E7451C9" w14:textId="10DD43B3" w:rsidR="006A65EF" w:rsidRPr="006A65EF" w:rsidRDefault="006A65EF" w:rsidP="006A65EF">
      <w:pPr>
        <w:spacing w:after="516" w:line="240" w:lineRule="auto"/>
        <w:jc w:val="both"/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</w:pPr>
      <w:r w:rsidRPr="006A65EF">
        <w:rPr>
          <w:rFonts w:ascii="Open Sans" w:eastAsia="Times New Roman" w:hAnsi="Open Sans" w:cs="Open Sans"/>
          <w:color w:val="8E8E8E"/>
          <w:sz w:val="21"/>
          <w:szCs w:val="21"/>
          <w:lang w:eastAsia="pt-PT"/>
        </w:rPr>
        <w:t>A bibliografia é assinalável e contempla diversos estudos científicos que incidem sobre o território e as espécies nele presentes.</w:t>
      </w:r>
    </w:p>
    <w:p w14:paraId="4DC14348" w14:textId="37452BCF" w:rsidR="006A65EF" w:rsidRDefault="00EC4F7D">
      <w:r>
        <w:t>Moinhos de Jancido</w:t>
      </w:r>
    </w:p>
    <w:sectPr w:rsidR="006A6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F59"/>
    <w:multiLevelType w:val="multilevel"/>
    <w:tmpl w:val="072E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0196F"/>
    <w:multiLevelType w:val="multilevel"/>
    <w:tmpl w:val="C28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6FF7"/>
    <w:multiLevelType w:val="multilevel"/>
    <w:tmpl w:val="59B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40409"/>
    <w:multiLevelType w:val="multilevel"/>
    <w:tmpl w:val="E4C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05953"/>
    <w:multiLevelType w:val="multilevel"/>
    <w:tmpl w:val="13B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954DF"/>
    <w:multiLevelType w:val="multilevel"/>
    <w:tmpl w:val="63A2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7083E"/>
    <w:multiLevelType w:val="multilevel"/>
    <w:tmpl w:val="C78E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E5B58"/>
    <w:multiLevelType w:val="multilevel"/>
    <w:tmpl w:val="044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EF"/>
    <w:rsid w:val="00535D1E"/>
    <w:rsid w:val="006A65EF"/>
    <w:rsid w:val="00E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DA4F"/>
  <w15:chartTrackingRefBased/>
  <w15:docId w15:val="{425D73D3-0BF9-4237-AB66-0BA9D24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695">
                  <w:marLeft w:val="0"/>
                  <w:marRight w:val="6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1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7285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50610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2428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130">
                  <w:marLeft w:val="0"/>
                  <w:marRight w:val="6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14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4985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331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9260">
                  <w:marLeft w:val="0"/>
                  <w:marRight w:val="6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0267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2895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898">
                  <w:marLeft w:val="0"/>
                  <w:marRight w:val="6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6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0639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49463">
                              <w:marLeft w:val="0"/>
                              <w:marRight w:val="0"/>
                              <w:marTop w:val="0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Taveira</dc:creator>
  <cp:keywords/>
  <dc:description/>
  <cp:lastModifiedBy>Maria Elisa Taveira</cp:lastModifiedBy>
  <cp:revision>4</cp:revision>
  <dcterms:created xsi:type="dcterms:W3CDTF">2022-02-23T19:01:00Z</dcterms:created>
  <dcterms:modified xsi:type="dcterms:W3CDTF">2022-03-06T18:42:00Z</dcterms:modified>
</cp:coreProperties>
</file>